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0ABC9F24"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102</w:t>
      </w:r>
      <w:r w:rsidRPr="00276F20">
        <w:t>-e</w:t>
      </w:r>
      <w:r w:rsidRPr="00276F20">
        <w:tab/>
      </w:r>
      <w:r w:rsidRPr="00910429">
        <w:rPr>
          <w:szCs w:val="24"/>
        </w:rPr>
        <w:t>R4-2</w:t>
      </w:r>
      <w:r>
        <w:rPr>
          <w:szCs w:val="24"/>
        </w:rPr>
        <w:t>2</w:t>
      </w:r>
      <w:r w:rsidR="008041AA">
        <w:rPr>
          <w:szCs w:val="24"/>
        </w:rPr>
        <w:t>05435</w:t>
      </w:r>
    </w:p>
    <w:p w14:paraId="5248F096" w14:textId="2CC0121E" w:rsidR="0054030B" w:rsidRPr="00276F20" w:rsidRDefault="0054030B" w:rsidP="0054030B">
      <w:pPr>
        <w:pStyle w:val="3GPPHeader"/>
      </w:pPr>
      <w:bookmarkStart w:id="1" w:name="OLE_LINK3"/>
      <w:bookmarkStart w:id="2" w:name="OLE_LINK4"/>
      <w:r w:rsidRPr="00276F20">
        <w:t xml:space="preserve">Electronic Meeting, </w:t>
      </w:r>
      <w:r>
        <w:t>21</w:t>
      </w:r>
      <w:r w:rsidRPr="003422AE">
        <w:t xml:space="preserve"> </w:t>
      </w:r>
      <w:r>
        <w:t>Feb.</w:t>
      </w:r>
      <w:r w:rsidRPr="003422AE">
        <w:t xml:space="preserve"> – </w:t>
      </w:r>
      <w:r>
        <w:t>3rd</w:t>
      </w:r>
      <w:r w:rsidRPr="003422AE">
        <w:t xml:space="preserve"> </w:t>
      </w:r>
      <w:r>
        <w:t>Mar.</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2E8643EF" w:rsidR="0054030B" w:rsidRPr="00B42E8B" w:rsidRDefault="0054030B" w:rsidP="0054030B">
      <w:pPr>
        <w:pStyle w:val="3GPPHeader"/>
        <w:rPr>
          <w:sz w:val="22"/>
        </w:rPr>
      </w:pPr>
      <w:r w:rsidRPr="00B42E8B">
        <w:rPr>
          <w:sz w:val="22"/>
        </w:rPr>
        <w:t>Agenda Item:</w:t>
      </w:r>
      <w:r w:rsidRPr="00B42E8B">
        <w:rPr>
          <w:sz w:val="22"/>
        </w:rPr>
        <w:tab/>
      </w:r>
      <w:r>
        <w:rPr>
          <w:sz w:val="22"/>
        </w:rPr>
        <w:t>10.1</w:t>
      </w:r>
      <w:r w:rsidR="003403B0">
        <w:rPr>
          <w:sz w:val="22"/>
        </w:rPr>
        <w:t>2.2.3.1</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6F5D0D0A"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w:t>
      </w:r>
      <w:r w:rsidR="003403B0">
        <w:rPr>
          <w:sz w:val="22"/>
        </w:rPr>
        <w:t xml:space="preserve"> the general for CRS-IM</w:t>
      </w:r>
    </w:p>
    <w:p w14:paraId="4B675DFA" w14:textId="77777777" w:rsidR="0054030B" w:rsidRPr="00B42E8B" w:rsidRDefault="0054030B" w:rsidP="0054030B">
      <w:pPr>
        <w:pStyle w:val="3GPPHeader"/>
        <w:rPr>
          <w:sz w:val="22"/>
        </w:rPr>
      </w:pPr>
      <w:r w:rsidRPr="00B42E8B">
        <w:rPr>
          <w:sz w:val="22"/>
        </w:rPr>
        <w:t>Document for:</w:t>
      </w:r>
      <w:r w:rsidRPr="00B42E8B">
        <w:rPr>
          <w:sz w:val="22"/>
        </w:rPr>
        <w:tab/>
        <w:t>Discussion</w:t>
      </w:r>
    </w:p>
    <w:p w14:paraId="282D313D" w14:textId="77777777" w:rsidR="008F7A79" w:rsidRPr="00B42E8B" w:rsidRDefault="008F7A79" w:rsidP="008F7A79">
      <w:pPr>
        <w:pStyle w:val="3GPPHeader"/>
        <w:rPr>
          <w:sz w:val="22"/>
        </w:rPr>
      </w:pPr>
    </w:p>
    <w:p w14:paraId="68C6BC29" w14:textId="77777777" w:rsidR="008F7A79" w:rsidRPr="0092180D" w:rsidRDefault="008F7A79" w:rsidP="008F7A79">
      <w:pPr>
        <w:pStyle w:val="Heading1"/>
        <w:jc w:val="both"/>
        <w:rPr>
          <w:lang w:val="en-US"/>
        </w:rPr>
      </w:pPr>
      <w:r w:rsidRPr="0092180D">
        <w:rPr>
          <w:lang w:val="en-US"/>
        </w:rPr>
        <w:t>1</w:t>
      </w:r>
      <w:r w:rsidRPr="0092180D">
        <w:rPr>
          <w:lang w:val="en-US"/>
        </w:rPr>
        <w:tab/>
        <w:t>Introduction</w:t>
      </w:r>
    </w:p>
    <w:p w14:paraId="2B2D6A48" w14:textId="4894DC5D" w:rsidR="008F7A79" w:rsidRDefault="008C1B57" w:rsidP="008F7A79">
      <w:r>
        <w:t xml:space="preserve">An WF [1] has been approved to capture all the agreements achieved in the last RAN4 meeting. However, there are still some open issues left </w:t>
      </w:r>
      <w:r w:rsidR="002A6C78">
        <w:t xml:space="preserve">especially for 30kHz SCS scenario </w:t>
      </w:r>
      <w:r>
        <w:t xml:space="preserve">for further discussion. </w:t>
      </w:r>
    </w:p>
    <w:p w14:paraId="08530987" w14:textId="62336415" w:rsidR="008F7A79" w:rsidRDefault="008C1B57" w:rsidP="008F7A79">
      <w:r>
        <w:t>In this contribution, we shared our views on the following parts</w:t>
      </w:r>
      <w:r w:rsidR="002A6C78">
        <w:t xml:space="preserve"> of 30kHz SCS scenario for its initial study on its feasibility for defining requirement</w:t>
      </w:r>
      <w:r>
        <w:t>:</w:t>
      </w:r>
    </w:p>
    <w:p w14:paraId="5332CF6C" w14:textId="3D235BB9" w:rsidR="008C1B57" w:rsidRDefault="002A6C78" w:rsidP="002A6C78">
      <w:pPr>
        <w:pStyle w:val="ListParagraph"/>
        <w:numPr>
          <w:ilvl w:val="0"/>
          <w:numId w:val="1"/>
        </w:numPr>
      </w:pPr>
      <w:r w:rsidRPr="002A6C78">
        <w:t>Implementation of LLR weighting in 30 kHz SCS scenario</w:t>
      </w:r>
    </w:p>
    <w:p w14:paraId="108297EF" w14:textId="6BD251F0" w:rsidR="002A6C78" w:rsidRDefault="002A6C78" w:rsidP="002A6C78">
      <w:pPr>
        <w:pStyle w:val="ListParagraph"/>
        <w:numPr>
          <w:ilvl w:val="0"/>
          <w:numId w:val="1"/>
        </w:numPr>
      </w:pPr>
      <w:r w:rsidRPr="002A6C78">
        <w:t>CRS port number information</w:t>
      </w:r>
    </w:p>
    <w:p w14:paraId="7E9E47FD" w14:textId="4BA06431" w:rsidR="002A6C78" w:rsidRDefault="002A6C78" w:rsidP="002A6C78">
      <w:pPr>
        <w:pStyle w:val="ListParagraph"/>
        <w:numPr>
          <w:ilvl w:val="0"/>
          <w:numId w:val="1"/>
        </w:numPr>
      </w:pPr>
      <w:r w:rsidRPr="002A6C78">
        <w:t>CRS frequency location information</w:t>
      </w:r>
    </w:p>
    <w:p w14:paraId="74A12A73" w14:textId="332F299B" w:rsidR="008F7A79" w:rsidRDefault="002A6C78" w:rsidP="008F7A79">
      <w:pPr>
        <w:pStyle w:val="ListParagraph"/>
        <w:numPr>
          <w:ilvl w:val="0"/>
          <w:numId w:val="1"/>
        </w:numPr>
      </w:pPr>
      <w:r>
        <w:t>Test setup</w:t>
      </w:r>
    </w:p>
    <w:p w14:paraId="65E676A2" w14:textId="430677FB" w:rsidR="008F7A79" w:rsidRDefault="002A6C78" w:rsidP="008F7A79">
      <w:r>
        <w:t>Meanwhile, we provide our views on the UE capability issue</w:t>
      </w:r>
      <w:r w:rsidR="00665B73">
        <w:t xml:space="preserve"> for both 15kHz </w:t>
      </w:r>
      <w:r w:rsidR="005B4AEA">
        <w:t xml:space="preserve">and </w:t>
      </w:r>
      <w:r w:rsidR="00665B73">
        <w:t>30kHz SCS</w:t>
      </w:r>
      <w:r>
        <w:t xml:space="preserve"> as well. </w:t>
      </w:r>
    </w:p>
    <w:p w14:paraId="5562249A" w14:textId="77777777" w:rsidR="008F7A79" w:rsidRDefault="008F7A79" w:rsidP="008F7A79">
      <w:pPr>
        <w:pStyle w:val="Heading1"/>
        <w:jc w:val="both"/>
        <w:rPr>
          <w:lang w:val="en-US"/>
        </w:rPr>
      </w:pPr>
      <w:r w:rsidRPr="0092180D">
        <w:rPr>
          <w:lang w:val="en-US"/>
        </w:rPr>
        <w:t>2</w:t>
      </w:r>
      <w:r w:rsidRPr="0092180D">
        <w:rPr>
          <w:lang w:val="en-US"/>
        </w:rPr>
        <w:tab/>
      </w:r>
      <w:r>
        <w:rPr>
          <w:lang w:val="en-US"/>
        </w:rPr>
        <w:t>Discussion</w:t>
      </w:r>
    </w:p>
    <w:p w14:paraId="31231C89" w14:textId="1404830E" w:rsidR="008F7A79" w:rsidRDefault="008F7A79" w:rsidP="008F7A7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8172D9">
        <w:rPr>
          <w:rFonts w:ascii="Arial" w:eastAsia="MS Mincho" w:hAnsi="Arial" w:cs="Times New Roman"/>
          <w:sz w:val="32"/>
          <w:szCs w:val="20"/>
          <w:lang w:val="en-GB" w:eastAsia="ja-JP"/>
        </w:rPr>
        <w:t>Feasibility for 30kHz SCS scenario</w:t>
      </w:r>
    </w:p>
    <w:p w14:paraId="0C24795F" w14:textId="3A53744E" w:rsidR="008172D9" w:rsidRPr="00636EB0" w:rsidRDefault="00A654F6" w:rsidP="008172D9">
      <w:pPr>
        <w:rPr>
          <w:b/>
          <w:bCs/>
          <w:u w:val="single"/>
        </w:rPr>
      </w:pPr>
      <w:r w:rsidRPr="00636EB0">
        <w:rPr>
          <w:b/>
          <w:bCs/>
          <w:u w:val="single"/>
        </w:rPr>
        <w:t>Implementation of LLR weighting in 30 kHz SCS scenario</w:t>
      </w:r>
    </w:p>
    <w:p w14:paraId="2EA1A1D0" w14:textId="4001CE96" w:rsidR="00A654F6" w:rsidRDefault="00A654F6" w:rsidP="008172D9">
      <w:r>
        <w:t>During the last RAN4 meeting, following options are listed for discussing the implementation of LLR weighting in 30kHz SCS scenario:</w:t>
      </w:r>
    </w:p>
    <w:tbl>
      <w:tblPr>
        <w:tblStyle w:val="TableGrid"/>
        <w:tblW w:w="0" w:type="auto"/>
        <w:tblLook w:val="04A0" w:firstRow="1" w:lastRow="0" w:firstColumn="1" w:lastColumn="0" w:noHBand="0" w:noVBand="1"/>
      </w:tblPr>
      <w:tblGrid>
        <w:gridCol w:w="9350"/>
      </w:tblGrid>
      <w:tr w:rsidR="00A654F6" w14:paraId="50B63649" w14:textId="77777777" w:rsidTr="00A654F6">
        <w:tc>
          <w:tcPr>
            <w:tcW w:w="9350" w:type="dxa"/>
          </w:tcPr>
          <w:p w14:paraId="4936FD2C" w14:textId="77777777" w:rsidR="00A654F6" w:rsidRPr="00A654F6" w:rsidRDefault="00A654F6" w:rsidP="00A654F6">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A654F6">
              <w:rPr>
                <w:rFonts w:cstheme="minorHAnsi"/>
                <w:lang w:eastAsia="ko-KR"/>
              </w:rPr>
              <w:t>Option 1: Propose a LLR weighting method as follows</w:t>
            </w:r>
          </w:p>
          <w:p w14:paraId="5D9B6550" w14:textId="77777777" w:rsidR="00A654F6" w:rsidRPr="00A654F6" w:rsidRDefault="00A654F6" w:rsidP="00A654F6">
            <w:pPr>
              <w:widowControl w:val="0"/>
              <w:numPr>
                <w:ilvl w:val="1"/>
                <w:numId w:val="3"/>
              </w:numPr>
              <w:snapToGrid w:val="0"/>
              <w:spacing w:before="120" w:after="120"/>
              <w:rPr>
                <w:rFonts w:cstheme="minorHAnsi"/>
                <w:lang w:eastAsia="ko-KR"/>
              </w:rPr>
            </w:pPr>
            <w:r w:rsidRPr="00A654F6">
              <w:rPr>
                <w:rFonts w:cstheme="minorHAnsi"/>
                <w:lang w:eastAsia="ko-KR"/>
              </w:rPr>
              <w:t>Acquire the CRS time domain location by power detection</w:t>
            </w:r>
          </w:p>
          <w:p w14:paraId="2D8A9038" w14:textId="77777777" w:rsidR="00A654F6" w:rsidRPr="00A654F6" w:rsidRDefault="00A654F6" w:rsidP="00A654F6">
            <w:pPr>
              <w:widowControl w:val="0"/>
              <w:numPr>
                <w:ilvl w:val="1"/>
                <w:numId w:val="3"/>
              </w:numPr>
              <w:snapToGrid w:val="0"/>
              <w:spacing w:before="120" w:after="120"/>
              <w:rPr>
                <w:rFonts w:cstheme="minorHAnsi"/>
                <w:lang w:eastAsia="ko-KR"/>
              </w:rPr>
            </w:pPr>
            <w:r w:rsidRPr="00A654F6">
              <w:rPr>
                <w:rFonts w:cstheme="minorHAnsi"/>
                <w:lang w:eastAsia="ko-KR"/>
              </w:rPr>
              <w:t>Estimate the interference power distribution per RE level in the interfered symbols</w:t>
            </w:r>
          </w:p>
          <w:p w14:paraId="37CB8C3C" w14:textId="77777777" w:rsidR="00A654F6" w:rsidRPr="00A654F6" w:rsidRDefault="00A654F6" w:rsidP="00A654F6">
            <w:pPr>
              <w:widowControl w:val="0"/>
              <w:numPr>
                <w:ilvl w:val="1"/>
                <w:numId w:val="3"/>
              </w:numPr>
              <w:snapToGrid w:val="0"/>
              <w:spacing w:before="120" w:after="120"/>
              <w:rPr>
                <w:rFonts w:cstheme="minorHAnsi"/>
                <w:lang w:eastAsia="ko-KR"/>
              </w:rPr>
            </w:pPr>
            <w:r w:rsidRPr="00A654F6">
              <w:rPr>
                <w:rFonts w:cstheme="minorHAnsi"/>
                <w:lang w:eastAsia="ko-KR"/>
              </w:rPr>
              <w:t>Calculate the actual SINR on these interfered REs</w:t>
            </w:r>
          </w:p>
          <w:p w14:paraId="16CFB61D" w14:textId="77777777" w:rsidR="00A654F6" w:rsidRPr="00A654F6" w:rsidRDefault="00A654F6" w:rsidP="00A654F6">
            <w:pPr>
              <w:widowControl w:val="0"/>
              <w:numPr>
                <w:ilvl w:val="1"/>
                <w:numId w:val="3"/>
              </w:numPr>
              <w:snapToGrid w:val="0"/>
              <w:spacing w:before="120" w:after="120"/>
              <w:rPr>
                <w:rFonts w:cstheme="minorHAnsi"/>
                <w:lang w:eastAsia="ko-KR"/>
              </w:rPr>
            </w:pPr>
            <w:r w:rsidRPr="00A654F6">
              <w:rPr>
                <w:rFonts w:cstheme="minorHAnsi"/>
                <w:lang w:eastAsia="ko-KR"/>
              </w:rPr>
              <w:t>Scaling the LLRs by post processing SINR value</w:t>
            </w:r>
          </w:p>
          <w:p w14:paraId="398A219F" w14:textId="77777777" w:rsidR="00A654F6" w:rsidRPr="00A654F6" w:rsidRDefault="00A654F6" w:rsidP="00A654F6">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A654F6">
              <w:rPr>
                <w:rFonts w:cstheme="minorHAnsi"/>
                <w:lang w:eastAsia="ko-KR"/>
              </w:rPr>
              <w:t xml:space="preserve">Option 2: UE should do power estimation three times for three types of REs with different </w:t>
            </w:r>
            <w:r w:rsidRPr="00A654F6">
              <w:rPr>
                <w:rFonts w:cstheme="minorHAnsi"/>
                <w:lang w:eastAsia="ko-KR"/>
              </w:rPr>
              <w:lastRenderedPageBreak/>
              <w:t>interference models with se</w:t>
            </w:r>
            <w:r w:rsidRPr="00A654F6">
              <w:rPr>
                <w:rFonts w:cstheme="minorHAnsi"/>
              </w:rPr>
              <w:t>ve</w:t>
            </w:r>
            <w:r w:rsidRPr="00A654F6">
              <w:rPr>
                <w:rFonts w:cstheme="minorHAnsi"/>
                <w:lang w:eastAsia="ko-KR"/>
              </w:rPr>
              <w:t xml:space="preserve">ral RBs granularity or the whole bandwidth and perform LLR weighting respectively. </w:t>
            </w:r>
          </w:p>
          <w:p w14:paraId="03389540" w14:textId="77777777" w:rsidR="00A654F6" w:rsidRPr="00A654F6" w:rsidRDefault="00A654F6" w:rsidP="00A654F6">
            <w:pPr>
              <w:widowControl w:val="0"/>
              <w:numPr>
                <w:ilvl w:val="1"/>
                <w:numId w:val="3"/>
              </w:numPr>
              <w:snapToGrid w:val="0"/>
              <w:spacing w:before="120" w:after="120"/>
              <w:rPr>
                <w:rFonts w:cstheme="minorHAnsi"/>
                <w:lang w:eastAsia="ko-KR"/>
              </w:rPr>
            </w:pPr>
            <w:r w:rsidRPr="00A654F6">
              <w:rPr>
                <w:rFonts w:cstheme="minorHAnsi"/>
                <w:lang w:eastAsia="ko-KR"/>
              </w:rPr>
              <w:t>In the NR 30kHz+ LTE15kHz deployment, the main interference contributing to kth of NR subcarrier are 2kth, (2k-</w:t>
            </w:r>
            <w:proofErr w:type="gramStart"/>
            <w:r w:rsidRPr="00A654F6">
              <w:rPr>
                <w:rFonts w:cstheme="minorHAnsi"/>
                <w:lang w:eastAsia="ko-KR"/>
              </w:rPr>
              <w:t>1)th</w:t>
            </w:r>
            <w:proofErr w:type="gramEnd"/>
            <w:r w:rsidRPr="00A654F6">
              <w:rPr>
                <w:rFonts w:cstheme="minorHAnsi"/>
                <w:lang w:eastAsia="ko-KR"/>
              </w:rPr>
              <w:t xml:space="preserve"> and (2k+1)th LTE subcarrier. </w:t>
            </w:r>
          </w:p>
          <w:p w14:paraId="2CC26C7A" w14:textId="77777777" w:rsidR="00A654F6" w:rsidRPr="00A654F6" w:rsidRDefault="00A654F6" w:rsidP="00A654F6">
            <w:pPr>
              <w:widowControl w:val="0"/>
              <w:numPr>
                <w:ilvl w:val="2"/>
                <w:numId w:val="3"/>
              </w:numPr>
              <w:snapToGrid w:val="0"/>
              <w:spacing w:before="120" w:after="120"/>
              <w:rPr>
                <w:rFonts w:cstheme="minorHAnsi"/>
                <w:lang w:eastAsia="ko-KR"/>
              </w:rPr>
            </w:pPr>
            <w:r w:rsidRPr="00A654F6">
              <w:rPr>
                <w:rFonts w:cstheme="minorHAnsi"/>
                <w:lang w:eastAsia="ko-KR"/>
              </w:rPr>
              <w:t xml:space="preserve">Interference pattern 1: Subcarrier index 0, 3, 6, 9…, </w:t>
            </w:r>
          </w:p>
          <w:p w14:paraId="39C84EF4" w14:textId="77777777" w:rsidR="00A654F6" w:rsidRPr="00A654F6" w:rsidRDefault="00A654F6" w:rsidP="00A654F6">
            <w:pPr>
              <w:widowControl w:val="0"/>
              <w:numPr>
                <w:ilvl w:val="2"/>
                <w:numId w:val="3"/>
              </w:numPr>
              <w:snapToGrid w:val="0"/>
              <w:spacing w:before="120" w:after="120"/>
              <w:rPr>
                <w:rFonts w:cstheme="minorHAnsi"/>
                <w:lang w:eastAsia="ko-KR"/>
              </w:rPr>
            </w:pPr>
            <w:r w:rsidRPr="00A654F6">
              <w:rPr>
                <w:rFonts w:cstheme="minorHAnsi"/>
                <w:lang w:eastAsia="ko-KR"/>
              </w:rPr>
              <w:t xml:space="preserve">Interference pattern 2: Subcarrier index 1, 4, 7, </w:t>
            </w:r>
            <w:proofErr w:type="gramStart"/>
            <w:r w:rsidRPr="00A654F6">
              <w:rPr>
                <w:rFonts w:cstheme="minorHAnsi"/>
                <w:lang w:eastAsia="ko-KR"/>
              </w:rPr>
              <w:t>10,…</w:t>
            </w:r>
            <w:proofErr w:type="gramEnd"/>
            <w:r w:rsidRPr="00A654F6">
              <w:rPr>
                <w:rFonts w:cstheme="minorHAnsi"/>
                <w:lang w:eastAsia="ko-KR"/>
              </w:rPr>
              <w:t xml:space="preserve">, </w:t>
            </w:r>
          </w:p>
          <w:p w14:paraId="5489ADD2" w14:textId="77777777" w:rsidR="00A654F6" w:rsidRPr="00A654F6" w:rsidRDefault="00A654F6" w:rsidP="00A654F6">
            <w:pPr>
              <w:widowControl w:val="0"/>
              <w:numPr>
                <w:ilvl w:val="2"/>
                <w:numId w:val="3"/>
              </w:numPr>
              <w:snapToGrid w:val="0"/>
              <w:spacing w:before="120" w:after="120"/>
              <w:rPr>
                <w:rFonts w:cstheme="minorHAnsi"/>
                <w:lang w:eastAsia="ko-KR"/>
              </w:rPr>
            </w:pPr>
            <w:r w:rsidRPr="00A654F6">
              <w:rPr>
                <w:rFonts w:cstheme="minorHAnsi"/>
                <w:lang w:eastAsia="ko-KR"/>
              </w:rPr>
              <w:t xml:space="preserve">Interference pattern 3: Subcarrier index 2, 5, 8, 11…, </w:t>
            </w:r>
          </w:p>
          <w:p w14:paraId="40DE408F" w14:textId="77777777" w:rsidR="00A654F6" w:rsidRPr="00A654F6" w:rsidRDefault="00A654F6" w:rsidP="00A654F6">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A654F6">
              <w:rPr>
                <w:rFonts w:cstheme="minorHAnsi"/>
                <w:lang w:eastAsia="ko-KR"/>
              </w:rPr>
              <w:t xml:space="preserve">Option 3: Measure the interference power on all REs within the symbol colliding with CRS REs and make the averaging with 1 PRB granularity. </w:t>
            </w:r>
          </w:p>
          <w:p w14:paraId="295F7DAD" w14:textId="77777777" w:rsidR="00A654F6" w:rsidRPr="00A654F6" w:rsidRDefault="00A654F6" w:rsidP="00A654F6">
            <w:pPr>
              <w:widowControl w:val="0"/>
              <w:numPr>
                <w:ilvl w:val="1"/>
                <w:numId w:val="3"/>
              </w:numPr>
              <w:snapToGrid w:val="0"/>
              <w:spacing w:before="120" w:after="120"/>
              <w:rPr>
                <w:rFonts w:cstheme="minorHAnsi"/>
                <w:lang w:eastAsia="ko-KR"/>
              </w:rPr>
            </w:pPr>
            <w:r w:rsidRPr="00A654F6">
              <w:rPr>
                <w:rFonts w:cstheme="minorHAnsi"/>
                <w:lang w:eastAsia="ko-KR"/>
              </w:rPr>
              <w:t xml:space="preserve">Intel: we will not observe that selected REs </w:t>
            </w:r>
            <w:proofErr w:type="gramStart"/>
            <w:r w:rsidRPr="00A654F6">
              <w:rPr>
                <w:rFonts w:cstheme="minorHAnsi"/>
                <w:lang w:eastAsia="ko-KR"/>
              </w:rPr>
              <w:t>are</w:t>
            </w:r>
            <w:proofErr w:type="gramEnd"/>
            <w:r w:rsidRPr="00A654F6">
              <w:rPr>
                <w:rFonts w:cstheme="minorHAnsi"/>
                <w:lang w:eastAsia="ko-KR"/>
              </w:rPr>
              <w:t xml:space="preserve"> affected by CRS interference due to loss of orthogonality</w:t>
            </w:r>
          </w:p>
          <w:p w14:paraId="4F651383" w14:textId="77777777" w:rsidR="00A654F6" w:rsidRPr="00A654F6" w:rsidRDefault="00A654F6" w:rsidP="00A654F6">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A654F6">
              <w:rPr>
                <w:rFonts w:cstheme="minorHAnsi"/>
                <w:lang w:eastAsia="ko-KR"/>
              </w:rPr>
              <w:t xml:space="preserve">Option 4: Up to UE implementation </w:t>
            </w:r>
          </w:p>
          <w:p w14:paraId="73AA753C" w14:textId="77777777" w:rsidR="00A654F6" w:rsidRPr="00A654F6" w:rsidRDefault="00A654F6" w:rsidP="00A654F6">
            <w:pPr>
              <w:widowControl w:val="0"/>
              <w:numPr>
                <w:ilvl w:val="1"/>
                <w:numId w:val="3"/>
              </w:numPr>
              <w:snapToGrid w:val="0"/>
              <w:spacing w:before="120" w:after="120"/>
              <w:rPr>
                <w:rFonts w:cstheme="minorHAnsi"/>
                <w:lang w:eastAsia="ko-KR"/>
              </w:rPr>
            </w:pPr>
            <w:r w:rsidRPr="00A654F6">
              <w:rPr>
                <w:rFonts w:cstheme="minorHAnsi"/>
                <w:lang w:eastAsia="ko-KR"/>
              </w:rPr>
              <w:t>QC: Discuss the single DMRS scenario separately, since the front loaded DMRS will be totally interfered by CRS in 4 CRS port scenario.</w:t>
            </w:r>
          </w:p>
          <w:p w14:paraId="61A821A2" w14:textId="77777777" w:rsidR="00A654F6" w:rsidRDefault="00A654F6" w:rsidP="00A654F6">
            <w:pPr>
              <w:pStyle w:val="ListParagraph"/>
              <w:numPr>
                <w:ilvl w:val="0"/>
                <w:numId w:val="2"/>
              </w:numPr>
              <w:snapToGrid w:val="0"/>
              <w:spacing w:before="120" w:after="120"/>
              <w:ind w:left="426" w:hanging="426"/>
              <w:contextualSpacing w:val="0"/>
              <w:rPr>
                <w:rFonts w:cstheme="minorHAnsi"/>
              </w:rPr>
            </w:pPr>
            <w:r w:rsidRPr="00A654F6">
              <w:rPr>
                <w:rFonts w:cstheme="minorHAnsi"/>
              </w:rPr>
              <w:t>FFS which LLR weighting implementation is feasible</w:t>
            </w:r>
          </w:p>
          <w:p w14:paraId="475987A9" w14:textId="73676C06" w:rsidR="00A654F6" w:rsidRPr="00A654F6" w:rsidRDefault="00A654F6" w:rsidP="00A654F6">
            <w:pPr>
              <w:pStyle w:val="ListParagraph"/>
              <w:numPr>
                <w:ilvl w:val="0"/>
                <w:numId w:val="2"/>
              </w:numPr>
              <w:snapToGrid w:val="0"/>
              <w:spacing w:before="120" w:after="120"/>
              <w:ind w:left="426" w:hanging="426"/>
              <w:contextualSpacing w:val="0"/>
              <w:rPr>
                <w:rFonts w:cstheme="minorHAnsi"/>
              </w:rPr>
            </w:pPr>
            <w:r w:rsidRPr="00A654F6">
              <w:rPr>
                <w:rFonts w:cstheme="minorHAnsi"/>
              </w:rPr>
              <w:t>FFS is it necessary to agree on one implementation as reference receiver based on the performance gain evaluation</w:t>
            </w:r>
          </w:p>
        </w:tc>
      </w:tr>
    </w:tbl>
    <w:p w14:paraId="205F28D6" w14:textId="77777777" w:rsidR="00A654F6" w:rsidRPr="008172D9" w:rsidRDefault="00A654F6" w:rsidP="008172D9"/>
    <w:p w14:paraId="2E62671F" w14:textId="414D6086" w:rsidR="008172D9" w:rsidRPr="008172D9" w:rsidRDefault="00636EB0" w:rsidP="008172D9">
      <w:r>
        <w:t xml:space="preserve">From our perspective, we don’t intend to restrict the UE implementation on LLR weighting similar as we mentioned in 15kHz SCS scenario discussion. </w:t>
      </w:r>
      <w:r w:rsidR="00BF3494">
        <w:t xml:space="preserve">We think option 1, 2 and 3 all are reasonable implementations, and unless we see great performance gap among the performance of these three different implementations, </w:t>
      </w:r>
      <w:r>
        <w:t xml:space="preserve">we don’t see the need for have this implementation aligned. </w:t>
      </w:r>
    </w:p>
    <w:p w14:paraId="70ED57A3" w14:textId="18BE35FC" w:rsidR="008172D9" w:rsidRDefault="00636EB0" w:rsidP="008172D9">
      <w:pPr>
        <w:rPr>
          <w:b/>
          <w:bCs/>
          <w:i/>
          <w:iCs/>
        </w:rPr>
      </w:pPr>
      <w:r w:rsidRPr="00636EB0">
        <w:rPr>
          <w:b/>
          <w:bCs/>
          <w:i/>
          <w:iCs/>
        </w:rPr>
        <w:t>Proposal 1: Option 4: Up to UE implementation for the implementation of LLR weighting in 30 kHz SCS scenario.</w:t>
      </w:r>
    </w:p>
    <w:p w14:paraId="5429C476" w14:textId="7CD587FA" w:rsidR="00E754F9" w:rsidRPr="00E754F9" w:rsidRDefault="00E754F9" w:rsidP="008172D9">
      <w:pPr>
        <w:rPr>
          <w:b/>
          <w:bCs/>
          <w:u w:val="single"/>
        </w:rPr>
      </w:pPr>
      <w:r w:rsidRPr="00E754F9">
        <w:rPr>
          <w:b/>
          <w:bCs/>
          <w:u w:val="single"/>
        </w:rPr>
        <w:t>CRS port number information</w:t>
      </w:r>
    </w:p>
    <w:p w14:paraId="6C6B287E" w14:textId="6BF74220" w:rsidR="00E754F9" w:rsidRDefault="00E754F9" w:rsidP="00E754F9">
      <w:r>
        <w:t>During the last RAN4 meeting, following options are listed for discussing the CRS port number information in 30kHz SCS scenario:</w:t>
      </w:r>
    </w:p>
    <w:tbl>
      <w:tblPr>
        <w:tblStyle w:val="TableGrid"/>
        <w:tblW w:w="0" w:type="auto"/>
        <w:tblLook w:val="04A0" w:firstRow="1" w:lastRow="0" w:firstColumn="1" w:lastColumn="0" w:noHBand="0" w:noVBand="1"/>
      </w:tblPr>
      <w:tblGrid>
        <w:gridCol w:w="9350"/>
      </w:tblGrid>
      <w:tr w:rsidR="00E754F9" w14:paraId="474856FC" w14:textId="77777777" w:rsidTr="00E754F9">
        <w:tc>
          <w:tcPr>
            <w:tcW w:w="9350" w:type="dxa"/>
          </w:tcPr>
          <w:p w14:paraId="08A20198" w14:textId="77777777" w:rsidR="00E754F9" w:rsidRPr="00E754F9" w:rsidRDefault="00E754F9" w:rsidP="00E754F9">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E754F9">
              <w:rPr>
                <w:rFonts w:cstheme="minorHAnsi"/>
                <w:lang w:eastAsia="ko-KR"/>
              </w:rPr>
              <w:t>Option 1: UE verify the CRS port number and interfered symbols based on power comparison per symbol level.</w:t>
            </w:r>
          </w:p>
          <w:p w14:paraId="4A23D48C" w14:textId="77777777" w:rsidR="00E754F9" w:rsidRPr="00E754F9" w:rsidRDefault="00E754F9" w:rsidP="00E754F9">
            <w:pPr>
              <w:widowControl w:val="0"/>
              <w:numPr>
                <w:ilvl w:val="1"/>
                <w:numId w:val="3"/>
              </w:numPr>
              <w:snapToGrid w:val="0"/>
              <w:spacing w:before="120" w:after="120"/>
              <w:rPr>
                <w:rFonts w:cstheme="minorHAnsi"/>
                <w:lang w:eastAsia="ko-KR"/>
              </w:rPr>
            </w:pPr>
            <w:r w:rsidRPr="00E754F9">
              <w:rPr>
                <w:rFonts w:cstheme="minorHAnsi"/>
                <w:lang w:eastAsia="ko-KR"/>
              </w:rPr>
              <w:t>Option 1a: Further analyse the feasibility of blind detection if testable performance will be observed with all parameters known to UE</w:t>
            </w:r>
          </w:p>
          <w:p w14:paraId="5B9DDEC4" w14:textId="77777777" w:rsidR="00E754F9" w:rsidRPr="00E754F9" w:rsidRDefault="00E754F9" w:rsidP="00E754F9">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E754F9">
              <w:rPr>
                <w:rFonts w:cstheme="minorHAnsi"/>
                <w:lang w:eastAsia="ko-KR"/>
              </w:rPr>
              <w:t xml:space="preserve">Option 2: Need NWA since power detection is unreliable for higher SIR. </w:t>
            </w:r>
          </w:p>
          <w:p w14:paraId="5277F239" w14:textId="77777777" w:rsidR="00E754F9" w:rsidRPr="00E754F9" w:rsidRDefault="00E754F9" w:rsidP="00E754F9">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E754F9">
              <w:rPr>
                <w:rFonts w:cstheme="minorHAnsi"/>
              </w:rPr>
              <w:t>Option 3: Reuse the GTW agreement</w:t>
            </w:r>
          </w:p>
          <w:p w14:paraId="5E94598F" w14:textId="77777777" w:rsidR="00E754F9" w:rsidRPr="00E754F9" w:rsidRDefault="00E754F9" w:rsidP="00E754F9">
            <w:pPr>
              <w:widowControl w:val="0"/>
              <w:numPr>
                <w:ilvl w:val="1"/>
                <w:numId w:val="3"/>
              </w:numPr>
              <w:snapToGrid w:val="0"/>
              <w:spacing w:before="120" w:after="120"/>
              <w:rPr>
                <w:rFonts w:cstheme="minorHAnsi"/>
                <w:lang w:eastAsia="ko-KR"/>
              </w:rPr>
            </w:pPr>
            <w:r w:rsidRPr="00E754F9">
              <w:rPr>
                <w:rFonts w:cstheme="minorHAnsi"/>
                <w:lang w:eastAsia="ko-KR"/>
              </w:rPr>
              <w:t xml:space="preserve">From RAN4 minimum performance requirements aspect, UE follow below default assumption without blind detection as baseline assumption </w:t>
            </w:r>
          </w:p>
          <w:p w14:paraId="7C3CAF84" w14:textId="77777777" w:rsidR="00E754F9" w:rsidRPr="00E754F9" w:rsidRDefault="00E754F9" w:rsidP="00E754F9">
            <w:pPr>
              <w:widowControl w:val="0"/>
              <w:numPr>
                <w:ilvl w:val="2"/>
                <w:numId w:val="3"/>
              </w:numPr>
              <w:tabs>
                <w:tab w:val="num" w:pos="1701"/>
              </w:tabs>
              <w:snapToGrid w:val="0"/>
              <w:spacing w:before="120" w:after="120"/>
              <w:rPr>
                <w:rFonts w:cstheme="minorHAnsi"/>
                <w:lang w:eastAsia="ko-KR"/>
              </w:rPr>
            </w:pPr>
            <w:r w:rsidRPr="00E754F9">
              <w:rPr>
                <w:rFonts w:cstheme="minorHAnsi"/>
                <w:lang w:eastAsia="ko-KR"/>
              </w:rPr>
              <w:t>4 CRS ports for scenario 2</w:t>
            </w:r>
          </w:p>
          <w:p w14:paraId="3F2662B9" w14:textId="77777777" w:rsidR="00E754F9" w:rsidRPr="00E754F9" w:rsidRDefault="00E754F9" w:rsidP="00E754F9">
            <w:pPr>
              <w:widowControl w:val="0"/>
              <w:numPr>
                <w:ilvl w:val="1"/>
                <w:numId w:val="3"/>
              </w:numPr>
              <w:snapToGrid w:val="0"/>
              <w:spacing w:before="120" w:after="120"/>
              <w:rPr>
                <w:rFonts w:cstheme="minorHAnsi"/>
                <w:lang w:eastAsia="ko-KR"/>
              </w:rPr>
            </w:pPr>
            <w:r w:rsidRPr="00E754F9">
              <w:rPr>
                <w:rFonts w:cstheme="minorHAnsi"/>
                <w:lang w:eastAsia="ko-KR"/>
              </w:rPr>
              <w:lastRenderedPageBreak/>
              <w:t>By default, number of CRS ports no need to be informed via signalling with following default assumption from RAN4 performance requirements aspect</w:t>
            </w:r>
          </w:p>
          <w:p w14:paraId="3EA63224" w14:textId="77777777" w:rsidR="00E754F9" w:rsidRPr="00E754F9" w:rsidRDefault="00E754F9" w:rsidP="00E754F9">
            <w:pPr>
              <w:widowControl w:val="0"/>
              <w:numPr>
                <w:ilvl w:val="1"/>
                <w:numId w:val="3"/>
              </w:numPr>
              <w:snapToGrid w:val="0"/>
              <w:spacing w:before="120" w:after="120"/>
              <w:rPr>
                <w:rFonts w:cstheme="minorHAnsi"/>
                <w:lang w:eastAsia="ko-KR"/>
              </w:rPr>
            </w:pPr>
            <w:r w:rsidRPr="00E754F9">
              <w:rPr>
                <w:rFonts w:cstheme="minorHAnsi"/>
                <w:lang w:eastAsia="ko-KR"/>
              </w:rPr>
              <w:t>Number of CRS ports information can be included into NWA signalling (optional)</w:t>
            </w:r>
          </w:p>
          <w:p w14:paraId="5ED5B331" w14:textId="15E8EC0E" w:rsidR="00E754F9" w:rsidRPr="00E754F9" w:rsidRDefault="00E754F9" w:rsidP="00E754F9">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hAnsi="Arial" w:cs="Arial"/>
                <w:sz w:val="32"/>
                <w:szCs w:val="32"/>
                <w:lang w:eastAsia="ko-KR"/>
              </w:rPr>
            </w:pPr>
            <w:r w:rsidRPr="00E754F9">
              <w:rPr>
                <w:rFonts w:cstheme="minorHAnsi"/>
              </w:rPr>
              <w:t>Other Options are not precluded</w:t>
            </w:r>
          </w:p>
        </w:tc>
      </w:tr>
    </w:tbl>
    <w:p w14:paraId="26CE6A1F" w14:textId="57C9FB1B" w:rsidR="00E754F9" w:rsidRPr="00E754F9" w:rsidRDefault="00E754F9" w:rsidP="008172D9"/>
    <w:p w14:paraId="7AB31E76" w14:textId="58A97411" w:rsidR="00E754F9" w:rsidRPr="00145466" w:rsidRDefault="00145466" w:rsidP="008172D9">
      <w:r>
        <w:t xml:space="preserve">CRS port number information has been well discussed in 15kHz SCS scenario discussion. For 30kHz SCS scenario, we think the </w:t>
      </w:r>
      <w:r w:rsidR="0085179D">
        <w:t xml:space="preserve">previous </w:t>
      </w:r>
      <w:r>
        <w:t>agreements</w:t>
      </w:r>
      <w:r w:rsidR="0085179D">
        <w:t xml:space="preserve"> for 15kH</w:t>
      </w:r>
      <w:r w:rsidR="0085179D">
        <w:rPr>
          <w:rFonts w:hint="eastAsia"/>
        </w:rPr>
        <w:t>z</w:t>
      </w:r>
      <w:r w:rsidR="0085179D">
        <w:t xml:space="preserve"> SCS scenario can be reused. Thus, option 3 is preferable</w:t>
      </w:r>
      <w:r w:rsidR="00E949BF">
        <w:t xml:space="preserve"> for us</w:t>
      </w:r>
      <w:r w:rsidR="0085179D">
        <w:t xml:space="preserve">. </w:t>
      </w:r>
    </w:p>
    <w:p w14:paraId="769080F5" w14:textId="06DA1210" w:rsidR="00E754F9" w:rsidRDefault="0085179D" w:rsidP="008172D9">
      <w:pPr>
        <w:rPr>
          <w:b/>
          <w:bCs/>
          <w:i/>
          <w:iCs/>
        </w:rPr>
      </w:pPr>
      <w:r>
        <w:rPr>
          <w:b/>
          <w:bCs/>
          <w:i/>
          <w:iCs/>
        </w:rPr>
        <w:t>Proposal 2: Option 3: Reuse the GTW agreement of 15kHz SCS scenario</w:t>
      </w:r>
    </w:p>
    <w:p w14:paraId="242B9374" w14:textId="3A9A8BB4" w:rsidR="00E754F9" w:rsidRPr="0085179D" w:rsidRDefault="0085179D" w:rsidP="008172D9">
      <w:pPr>
        <w:rPr>
          <w:b/>
          <w:bCs/>
          <w:u w:val="single"/>
        </w:rPr>
      </w:pPr>
      <w:r w:rsidRPr="0085179D">
        <w:rPr>
          <w:b/>
          <w:bCs/>
          <w:u w:val="single"/>
        </w:rPr>
        <w:t>CRS frequency location information</w:t>
      </w:r>
    </w:p>
    <w:p w14:paraId="28639F0D" w14:textId="77777777" w:rsidR="005A631C" w:rsidRDefault="005A631C" w:rsidP="005A631C">
      <w:r>
        <w:t>During the last RAN4 meeting, following options are listed for discussing the CRS port number information in 30kHz SCS scenario:</w:t>
      </w:r>
    </w:p>
    <w:tbl>
      <w:tblPr>
        <w:tblStyle w:val="TableGrid"/>
        <w:tblW w:w="0" w:type="auto"/>
        <w:tblLook w:val="04A0" w:firstRow="1" w:lastRow="0" w:firstColumn="1" w:lastColumn="0" w:noHBand="0" w:noVBand="1"/>
      </w:tblPr>
      <w:tblGrid>
        <w:gridCol w:w="9350"/>
      </w:tblGrid>
      <w:tr w:rsidR="005A631C" w14:paraId="750B00F3" w14:textId="77777777" w:rsidTr="005A631C">
        <w:tc>
          <w:tcPr>
            <w:tcW w:w="9350" w:type="dxa"/>
          </w:tcPr>
          <w:p w14:paraId="708AFD0C" w14:textId="77777777" w:rsidR="005A631C" w:rsidRPr="005A631C" w:rsidRDefault="005A631C" w:rsidP="005A631C">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5A631C">
              <w:rPr>
                <w:rFonts w:cstheme="minorHAnsi"/>
                <w:lang w:eastAsia="ko-KR"/>
              </w:rPr>
              <w:t xml:space="preserve">Option 1: There is no need to identify the CRS frequency location in Scenario 2 with NR 30 kHz.  </w:t>
            </w:r>
          </w:p>
          <w:p w14:paraId="1F1AA42E" w14:textId="77777777" w:rsidR="005A631C" w:rsidRPr="005A631C" w:rsidRDefault="005A631C" w:rsidP="005A631C">
            <w:pPr>
              <w:widowControl w:val="0"/>
              <w:numPr>
                <w:ilvl w:val="1"/>
                <w:numId w:val="3"/>
              </w:numPr>
              <w:tabs>
                <w:tab w:val="num" w:pos="709"/>
                <w:tab w:val="num" w:pos="993"/>
              </w:tabs>
              <w:snapToGrid w:val="0"/>
              <w:spacing w:before="120" w:after="120"/>
              <w:rPr>
                <w:rFonts w:cstheme="minorHAnsi"/>
                <w:lang w:eastAsia="ko-KR"/>
              </w:rPr>
            </w:pPr>
            <w:r w:rsidRPr="005A631C">
              <w:rPr>
                <w:rFonts w:cstheme="minorHAnsi"/>
                <w:lang w:eastAsia="ko-KR"/>
              </w:rPr>
              <w:t>CMCC: Almost all the NR REs in interfered symbols will be interfered by LTE CRS.</w:t>
            </w:r>
          </w:p>
          <w:p w14:paraId="5C194510" w14:textId="77777777" w:rsidR="005A631C" w:rsidRPr="005A631C" w:rsidRDefault="005A631C" w:rsidP="005A631C">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5A631C">
              <w:rPr>
                <w:rFonts w:cstheme="minorHAnsi"/>
                <w:lang w:eastAsia="ko-KR"/>
              </w:rPr>
              <w:t xml:space="preserve">Option 2: CRS location information should be configured with network assistance information. </w:t>
            </w:r>
          </w:p>
          <w:p w14:paraId="507B542C" w14:textId="77777777" w:rsidR="005A631C" w:rsidRPr="005A631C" w:rsidRDefault="005A631C" w:rsidP="005A631C">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5A631C">
              <w:rPr>
                <w:rFonts w:cstheme="minorHAnsi"/>
                <w:lang w:eastAsia="ko-KR"/>
              </w:rPr>
              <w:t xml:space="preserve">Option 3: Further analyse the feasibility of blind detection if testable performance will be observed with all parameters known to UE </w:t>
            </w:r>
          </w:p>
          <w:p w14:paraId="26590243" w14:textId="77777777" w:rsidR="005A631C" w:rsidRPr="005A631C" w:rsidRDefault="005A631C" w:rsidP="005A631C">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5A631C">
              <w:rPr>
                <w:rFonts w:cstheme="minorHAnsi"/>
              </w:rPr>
              <w:t>Option 4: Reuse the GTW agreement</w:t>
            </w:r>
          </w:p>
          <w:p w14:paraId="401EB4CD" w14:textId="53C295F3" w:rsidR="005A631C" w:rsidRPr="005A631C" w:rsidRDefault="005A631C" w:rsidP="005A631C">
            <w:pPr>
              <w:widowControl w:val="0"/>
              <w:numPr>
                <w:ilvl w:val="1"/>
                <w:numId w:val="3"/>
              </w:numPr>
              <w:snapToGrid w:val="0"/>
              <w:spacing w:before="120" w:after="120"/>
              <w:rPr>
                <w:rFonts w:ascii="Arial" w:hAnsi="Arial" w:cs="Arial"/>
                <w:sz w:val="32"/>
                <w:szCs w:val="32"/>
                <w:lang w:eastAsia="ko-KR"/>
              </w:rPr>
            </w:pPr>
            <w:r w:rsidRPr="005A631C">
              <w:rPr>
                <w:rFonts w:cstheme="minorHAnsi"/>
                <w:lang w:eastAsia="ko-KR"/>
              </w:rPr>
              <w:t>The baseline assumption: No need to introduce NWA signaling for v-shift information</w:t>
            </w:r>
            <w:r w:rsidRPr="00F5069A">
              <w:rPr>
                <w:rFonts w:ascii="Arial" w:hAnsi="Arial" w:cs="Arial"/>
                <w:sz w:val="32"/>
                <w:szCs w:val="32"/>
                <w:lang w:eastAsia="ko-KR"/>
              </w:rPr>
              <w:t xml:space="preserve"> </w:t>
            </w:r>
          </w:p>
        </w:tc>
      </w:tr>
    </w:tbl>
    <w:p w14:paraId="7992F928" w14:textId="166D7DA1" w:rsidR="0085179D" w:rsidRPr="0085179D" w:rsidRDefault="0085179D" w:rsidP="008172D9"/>
    <w:p w14:paraId="56EBB278" w14:textId="10F31409" w:rsidR="00E949BF" w:rsidRPr="00145466" w:rsidRDefault="00E949BF" w:rsidP="00E949BF">
      <w:r>
        <w:t>CRS frequency location information has been well discussed in 15kHz SCS scenario discussion. For 30kHz SCS scenario, we think the previous agreements for 15kH</w:t>
      </w:r>
      <w:r>
        <w:rPr>
          <w:rFonts w:hint="eastAsia"/>
        </w:rPr>
        <w:t>z</w:t>
      </w:r>
      <w:r>
        <w:t xml:space="preserve"> SCS scenario can be reused. Thus, option 4 is preferable for us. </w:t>
      </w:r>
    </w:p>
    <w:p w14:paraId="2C941810" w14:textId="6727FD13" w:rsidR="00E754F9" w:rsidRPr="0085179D" w:rsidRDefault="00F93C8B" w:rsidP="008172D9">
      <w:r w:rsidRPr="00F93C8B">
        <w:rPr>
          <w:b/>
          <w:bCs/>
          <w:i/>
          <w:iCs/>
        </w:rPr>
        <w:t xml:space="preserve">Proposal 3: </w:t>
      </w:r>
      <w:r>
        <w:rPr>
          <w:b/>
          <w:bCs/>
          <w:i/>
          <w:iCs/>
        </w:rPr>
        <w:t>Option 4: Reuse the GTW agreement of 15kHz SCS scenario</w:t>
      </w:r>
    </w:p>
    <w:p w14:paraId="2B0A7F86" w14:textId="1B2BC68A" w:rsidR="008F7A79" w:rsidRDefault="008F7A79" w:rsidP="008F7A7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 xml:space="preserve">2.2 </w:t>
      </w:r>
      <w:r w:rsidR="008172D9">
        <w:rPr>
          <w:rFonts w:ascii="Arial" w:eastAsia="MS Mincho" w:hAnsi="Arial" w:cs="Times New Roman"/>
          <w:sz w:val="32"/>
          <w:szCs w:val="20"/>
          <w:lang w:val="en-GB" w:eastAsia="ja-JP"/>
        </w:rPr>
        <w:t xml:space="preserve">Test setup </w:t>
      </w:r>
    </w:p>
    <w:p w14:paraId="796C5201" w14:textId="4F507AB9" w:rsidR="008172D9" w:rsidRPr="00836C65" w:rsidRDefault="00836C65" w:rsidP="008172D9">
      <w:pPr>
        <w:rPr>
          <w:b/>
          <w:bCs/>
          <w:u w:val="single"/>
        </w:rPr>
      </w:pPr>
      <w:r w:rsidRPr="00836C65">
        <w:rPr>
          <w:b/>
          <w:bCs/>
          <w:u w:val="single"/>
        </w:rPr>
        <w:t>CBW and SCS for target and interference cells</w:t>
      </w:r>
    </w:p>
    <w:p w14:paraId="5D80EEC9" w14:textId="2C7EE31B" w:rsidR="00836C65" w:rsidRDefault="00836C65" w:rsidP="008172D9">
      <w:r>
        <w:t>For the CBW an</w:t>
      </w:r>
      <w:r>
        <w:rPr>
          <w:rFonts w:hint="eastAsia"/>
        </w:rPr>
        <w:t>d</w:t>
      </w:r>
      <w:r>
        <w:t xml:space="preserve"> SCS for target and interfering cell for defining requirement, as far as we concern, it can be further decided after it is proved that 30kHz SCS is feasible for defining requirement. However, option 1 listed below can be used for evaluating the feasibility first. </w:t>
      </w:r>
    </w:p>
    <w:tbl>
      <w:tblPr>
        <w:tblStyle w:val="TableGrid"/>
        <w:tblW w:w="0" w:type="auto"/>
        <w:tblLook w:val="04A0" w:firstRow="1" w:lastRow="0" w:firstColumn="1" w:lastColumn="0" w:noHBand="0" w:noVBand="1"/>
      </w:tblPr>
      <w:tblGrid>
        <w:gridCol w:w="9350"/>
      </w:tblGrid>
      <w:tr w:rsidR="00836C65" w14:paraId="3BD1A18F" w14:textId="77777777" w:rsidTr="00836C65">
        <w:tc>
          <w:tcPr>
            <w:tcW w:w="9350" w:type="dxa"/>
          </w:tcPr>
          <w:p w14:paraId="2721193B" w14:textId="1B2FF06C" w:rsidR="00836C65" w:rsidRPr="00836C65" w:rsidRDefault="00836C65" w:rsidP="00836C65">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836C65">
              <w:rPr>
                <w:rFonts w:cstheme="minorHAnsi"/>
                <w:lang w:eastAsia="ko-KR"/>
              </w:rPr>
              <w:t>Option 1: If 30kHz SCS is feasible, use TDD 30kHz/20MHz for target cell and TDD 15kHz/20MHz for interference cells</w:t>
            </w:r>
          </w:p>
        </w:tc>
      </w:tr>
    </w:tbl>
    <w:p w14:paraId="08D80516" w14:textId="1DB36D18" w:rsidR="00836C65" w:rsidRPr="00D84CCA" w:rsidRDefault="00836C65" w:rsidP="008172D9">
      <w:pPr>
        <w:rPr>
          <w:b/>
          <w:bCs/>
          <w:i/>
          <w:iCs/>
        </w:rPr>
      </w:pPr>
      <w:r w:rsidRPr="00D84CCA">
        <w:rPr>
          <w:b/>
          <w:bCs/>
          <w:i/>
          <w:iCs/>
        </w:rPr>
        <w:lastRenderedPageBreak/>
        <w:t>Proposal 4: Option 1</w:t>
      </w:r>
      <w:r w:rsidR="00D84CCA">
        <w:rPr>
          <w:b/>
          <w:bCs/>
          <w:i/>
          <w:iCs/>
        </w:rPr>
        <w:t xml:space="preserve"> for</w:t>
      </w:r>
      <w:r w:rsidR="00D84CCA" w:rsidRPr="00D84CCA">
        <w:t xml:space="preserve"> </w:t>
      </w:r>
      <w:r w:rsidR="00D84CCA" w:rsidRPr="00D84CCA">
        <w:rPr>
          <w:b/>
          <w:bCs/>
          <w:i/>
          <w:iCs/>
        </w:rPr>
        <w:t>CBW and SCS for target and interference cells</w:t>
      </w:r>
      <w:r w:rsidRPr="00D84CCA">
        <w:rPr>
          <w:b/>
          <w:bCs/>
          <w:i/>
          <w:iCs/>
        </w:rPr>
        <w:t xml:space="preserve"> can be used for evaluating the feasibility first.</w:t>
      </w:r>
    </w:p>
    <w:p w14:paraId="5CD67702" w14:textId="6247CF31" w:rsidR="008172D9" w:rsidRPr="00D84CCA" w:rsidRDefault="00836C65" w:rsidP="008172D9">
      <w:pPr>
        <w:rPr>
          <w:b/>
          <w:bCs/>
          <w:u w:val="single"/>
        </w:rPr>
      </w:pPr>
      <w:r w:rsidRPr="00D84CCA">
        <w:rPr>
          <w:b/>
          <w:bCs/>
          <w:u w:val="single"/>
        </w:rPr>
        <w:t>TDD configuration for target cell with 30kHz SCS</w:t>
      </w:r>
    </w:p>
    <w:p w14:paraId="77E47F76" w14:textId="5BA3AC44" w:rsidR="00836C65" w:rsidRDefault="00D84CCA" w:rsidP="008172D9">
      <w:r>
        <w:t>Same consideration for the TDD configuration for target cell with 30kHz SCS scenario. Thus, option 1 listed below can be used for evaluating the feasibility first.</w:t>
      </w:r>
    </w:p>
    <w:tbl>
      <w:tblPr>
        <w:tblStyle w:val="TableGrid"/>
        <w:tblW w:w="0" w:type="auto"/>
        <w:tblLook w:val="04A0" w:firstRow="1" w:lastRow="0" w:firstColumn="1" w:lastColumn="0" w:noHBand="0" w:noVBand="1"/>
      </w:tblPr>
      <w:tblGrid>
        <w:gridCol w:w="9350"/>
      </w:tblGrid>
      <w:tr w:rsidR="00D84CCA" w14:paraId="372B7E62" w14:textId="77777777" w:rsidTr="00D84CCA">
        <w:tc>
          <w:tcPr>
            <w:tcW w:w="9350" w:type="dxa"/>
          </w:tcPr>
          <w:p w14:paraId="24965AF0" w14:textId="51E84ECD" w:rsidR="00D84CCA" w:rsidRPr="00D84CCA" w:rsidRDefault="00D84CCA" w:rsidP="00D84CCA">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D84CCA">
              <w:rPr>
                <w:rFonts w:cstheme="minorHAnsi"/>
                <w:lang w:eastAsia="ko-KR"/>
              </w:rPr>
              <w:t>Option 1: If 30kHz SCS is feasible, Use 7DS2U with S=6D+4G+4U for the target cell with TDD 30kHz SCS</w:t>
            </w:r>
          </w:p>
        </w:tc>
      </w:tr>
    </w:tbl>
    <w:p w14:paraId="04572EE7" w14:textId="51950580" w:rsidR="00836C65" w:rsidRDefault="00836C65" w:rsidP="008172D9"/>
    <w:p w14:paraId="5D00D810" w14:textId="54E410A9" w:rsidR="00D84CCA" w:rsidRDefault="00D84CCA" w:rsidP="008172D9">
      <w:r w:rsidRPr="00D84CCA">
        <w:rPr>
          <w:b/>
          <w:bCs/>
          <w:i/>
          <w:iCs/>
        </w:rPr>
        <w:t>Proposal 5:</w:t>
      </w:r>
      <w:r>
        <w:t xml:space="preserve"> </w:t>
      </w:r>
      <w:r w:rsidRPr="00D84CCA">
        <w:rPr>
          <w:b/>
          <w:bCs/>
          <w:i/>
          <w:iCs/>
        </w:rPr>
        <w:t>Option 1</w:t>
      </w:r>
      <w:r>
        <w:rPr>
          <w:b/>
          <w:bCs/>
          <w:i/>
          <w:iCs/>
        </w:rPr>
        <w:t xml:space="preserve"> for </w:t>
      </w:r>
      <w:r w:rsidRPr="00D84CCA">
        <w:rPr>
          <w:b/>
          <w:bCs/>
          <w:i/>
          <w:iCs/>
        </w:rPr>
        <w:t>TDD configuration for target cell with 30kHz SCS can be used for evaluating the feasibility first.</w:t>
      </w:r>
    </w:p>
    <w:p w14:paraId="1AB5689B" w14:textId="0C7FB522" w:rsidR="00836C65" w:rsidRPr="00836C65" w:rsidRDefault="00836C65" w:rsidP="008172D9">
      <w:pPr>
        <w:rPr>
          <w:b/>
          <w:bCs/>
          <w:i/>
          <w:iCs/>
        </w:rPr>
      </w:pPr>
      <w:r w:rsidRPr="00836C65">
        <w:rPr>
          <w:b/>
          <w:bCs/>
          <w:i/>
          <w:iCs/>
        </w:rPr>
        <w:t>Proposal 6: Further decide exact test setup for defining requirement purpose after it is proved that 30kHz SCS is feasible for defining requirement.</w:t>
      </w:r>
    </w:p>
    <w:p w14:paraId="67F0D0A5" w14:textId="46C5D0B3" w:rsidR="008172D9" w:rsidRPr="001117BC" w:rsidRDefault="008172D9" w:rsidP="008F7A7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2.3 UE capability</w:t>
      </w:r>
    </w:p>
    <w:p w14:paraId="4CCB03A8" w14:textId="4AA79A6B" w:rsidR="008F7A79" w:rsidRPr="009A032C" w:rsidRDefault="009A032C" w:rsidP="008172D9">
      <w:pPr>
        <w:rPr>
          <w:b/>
          <w:bCs/>
          <w:u w:val="single"/>
        </w:rPr>
      </w:pPr>
      <w:r w:rsidRPr="009A032C">
        <w:rPr>
          <w:b/>
          <w:bCs/>
          <w:u w:val="single"/>
        </w:rPr>
        <w:t>For 15kHz SCS</w:t>
      </w:r>
    </w:p>
    <w:p w14:paraId="235824EA" w14:textId="255968F3" w:rsidR="008F7A79" w:rsidRDefault="009A032C" w:rsidP="008172D9">
      <w:r>
        <w:t>It has been discussed</w:t>
      </w:r>
      <w:r w:rsidR="008041AA">
        <w:t xml:space="preserve"> and agreed</w:t>
      </w:r>
      <w:r>
        <w:t xml:space="preserve"> in the last RAN4 meeting that there will be at least two kinds of UE capabilities</w:t>
      </w:r>
      <w:r w:rsidR="000514DC">
        <w:t xml:space="preserve"> for scenario 1 and 2</w:t>
      </w:r>
      <w:r>
        <w:t>:</w:t>
      </w:r>
    </w:p>
    <w:tbl>
      <w:tblPr>
        <w:tblStyle w:val="TableGrid"/>
        <w:tblW w:w="0" w:type="auto"/>
        <w:tblLook w:val="04A0" w:firstRow="1" w:lastRow="0" w:firstColumn="1" w:lastColumn="0" w:noHBand="0" w:noVBand="1"/>
      </w:tblPr>
      <w:tblGrid>
        <w:gridCol w:w="9350"/>
      </w:tblGrid>
      <w:tr w:rsidR="000514DC" w14:paraId="0EA36B0D" w14:textId="77777777" w:rsidTr="000514DC">
        <w:tc>
          <w:tcPr>
            <w:tcW w:w="9350" w:type="dxa"/>
          </w:tcPr>
          <w:p w14:paraId="2E4E8EB7" w14:textId="77777777" w:rsidR="000514DC" w:rsidRPr="000514DC" w:rsidRDefault="000514DC" w:rsidP="000514DC">
            <w:pPr>
              <w:pStyle w:val="ListParagraph"/>
              <w:numPr>
                <w:ilvl w:val="0"/>
                <w:numId w:val="2"/>
              </w:numPr>
              <w:snapToGrid w:val="0"/>
              <w:spacing w:before="120" w:after="120"/>
              <w:ind w:left="426" w:hanging="426"/>
              <w:contextualSpacing w:val="0"/>
              <w:rPr>
                <w:rFonts w:cstheme="minorHAnsi"/>
                <w:lang w:eastAsia="ko-KR"/>
              </w:rPr>
            </w:pPr>
            <w:r w:rsidRPr="000514DC">
              <w:rPr>
                <w:rFonts w:cstheme="minorHAnsi"/>
                <w:lang w:eastAsia="ko-KR"/>
              </w:rPr>
              <w:t>For scenario 1 and 2:</w:t>
            </w:r>
          </w:p>
          <w:p w14:paraId="53B2D508" w14:textId="62C2A0D2" w:rsidR="000514DC" w:rsidRPr="000514DC" w:rsidRDefault="000514DC" w:rsidP="000514DC">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ascii="Arial" w:eastAsia="Malgun Gothic" w:hAnsi="Arial" w:cs="Arial"/>
                <w:sz w:val="32"/>
                <w:szCs w:val="32"/>
                <w:highlight w:val="green"/>
                <w:lang w:eastAsia="ko-KR"/>
              </w:rPr>
            </w:pPr>
            <w:r w:rsidRPr="000514DC">
              <w:rPr>
                <w:rFonts w:cstheme="minorHAnsi"/>
                <w:highlight w:val="green"/>
                <w:lang w:eastAsia="ko-KR"/>
              </w:rPr>
              <w:t>Option 3: Introduce separate features for scenario 1 and scenario 2</w:t>
            </w:r>
            <w:r w:rsidRPr="00477860">
              <w:rPr>
                <w:rFonts w:ascii="Arial" w:hAnsi="Arial" w:cs="Arial"/>
                <w:sz w:val="32"/>
                <w:szCs w:val="32"/>
                <w:highlight w:val="green"/>
                <w:lang w:eastAsia="ko-KR"/>
              </w:rPr>
              <w:t xml:space="preserve"> </w:t>
            </w:r>
          </w:p>
        </w:tc>
      </w:tr>
    </w:tbl>
    <w:p w14:paraId="4527D80C" w14:textId="621BDDDA" w:rsidR="009A032C" w:rsidRDefault="009A032C" w:rsidP="008172D9"/>
    <w:p w14:paraId="621AD932" w14:textId="08AD4FB1" w:rsidR="000514DC" w:rsidRDefault="000514DC" w:rsidP="008172D9">
      <w:r>
        <w:t xml:space="preserve">Same time, for scenario 2, we think separate UE capabilities are also needed for two types of UE, one is capable for do the CRS-IM without the NWA signaling, and the other doesn’t. </w:t>
      </w:r>
    </w:p>
    <w:p w14:paraId="5EE7C63C" w14:textId="0962652A" w:rsidR="009A032C" w:rsidRPr="000514DC" w:rsidRDefault="000514DC" w:rsidP="008172D9">
      <w:pPr>
        <w:rPr>
          <w:b/>
          <w:bCs/>
          <w:i/>
          <w:iCs/>
        </w:rPr>
      </w:pPr>
      <w:r w:rsidRPr="000514DC">
        <w:rPr>
          <w:b/>
          <w:bCs/>
          <w:i/>
          <w:iCs/>
        </w:rPr>
        <w:t>Proposal 7: Separate UE capabilities are also needed for two types of UE, one is capable for do the CRS-IM without the NWA signaling, and the other doesn’t.</w:t>
      </w:r>
    </w:p>
    <w:p w14:paraId="25862834" w14:textId="1488A23E" w:rsidR="009A032C" w:rsidRPr="009A032C" w:rsidRDefault="009A032C" w:rsidP="009A032C">
      <w:pPr>
        <w:rPr>
          <w:b/>
          <w:bCs/>
          <w:u w:val="single"/>
        </w:rPr>
      </w:pPr>
      <w:r w:rsidRPr="009A032C">
        <w:rPr>
          <w:b/>
          <w:bCs/>
          <w:u w:val="single"/>
        </w:rPr>
        <w:t>For 30kHz SCS</w:t>
      </w:r>
    </w:p>
    <w:p w14:paraId="0E852918" w14:textId="41CAA3F1" w:rsidR="009A032C" w:rsidRDefault="009A032C" w:rsidP="008172D9">
      <w:r>
        <w:t>Following two options listed below are candidates for the UE capability for 30kHz SCS scenario:</w:t>
      </w:r>
    </w:p>
    <w:tbl>
      <w:tblPr>
        <w:tblStyle w:val="TableGrid"/>
        <w:tblW w:w="0" w:type="auto"/>
        <w:tblLook w:val="04A0" w:firstRow="1" w:lastRow="0" w:firstColumn="1" w:lastColumn="0" w:noHBand="0" w:noVBand="1"/>
      </w:tblPr>
      <w:tblGrid>
        <w:gridCol w:w="9350"/>
      </w:tblGrid>
      <w:tr w:rsidR="004A7A9F" w14:paraId="7AC01CB8" w14:textId="77777777" w:rsidTr="004A7A9F">
        <w:tc>
          <w:tcPr>
            <w:tcW w:w="9350" w:type="dxa"/>
          </w:tcPr>
          <w:p w14:paraId="7928C30D" w14:textId="77777777" w:rsidR="004A7A9F" w:rsidRDefault="004A7A9F" w:rsidP="004A7A9F">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4A7A9F">
              <w:rPr>
                <w:rFonts w:cstheme="minorHAnsi"/>
                <w:lang w:eastAsia="ko-KR"/>
              </w:rPr>
              <w:t>Option 1: FFS until feasibility to support CRS-IM for 30kHz SCS is confirmed</w:t>
            </w:r>
          </w:p>
          <w:p w14:paraId="0098A35F" w14:textId="3947237A" w:rsidR="004A7A9F" w:rsidRPr="004A7A9F" w:rsidRDefault="004A7A9F" w:rsidP="004A7A9F">
            <w:pPr>
              <w:widowControl w:val="0"/>
              <w:numPr>
                <w:ilvl w:val="1"/>
                <w:numId w:val="3"/>
              </w:numPr>
              <w:tabs>
                <w:tab w:val="num" w:pos="484"/>
                <w:tab w:val="num" w:pos="709"/>
                <w:tab w:val="num" w:pos="993"/>
                <w:tab w:val="num" w:pos="1440"/>
                <w:tab w:val="num" w:pos="1701"/>
              </w:tabs>
              <w:snapToGrid w:val="0"/>
              <w:spacing w:before="120" w:after="120"/>
              <w:ind w:leftChars="257" w:left="988" w:hanging="423"/>
              <w:rPr>
                <w:rFonts w:cstheme="minorHAnsi"/>
                <w:lang w:eastAsia="ko-KR"/>
              </w:rPr>
            </w:pPr>
            <w:r w:rsidRPr="004A7A9F">
              <w:rPr>
                <w:rFonts w:cstheme="minorHAnsi"/>
                <w:lang w:eastAsia="ko-KR"/>
              </w:rPr>
              <w:t>Option 2: Define separate UE capability for 30kHz SCS CRS-IM, FR1 only, no FDD/TDD difference</w:t>
            </w:r>
          </w:p>
        </w:tc>
      </w:tr>
    </w:tbl>
    <w:p w14:paraId="16001990" w14:textId="397EF575" w:rsidR="009A032C" w:rsidRDefault="009A032C" w:rsidP="008172D9"/>
    <w:p w14:paraId="569B5435" w14:textId="5A45B7CB" w:rsidR="004A7A9F" w:rsidRPr="008172D9" w:rsidRDefault="004A7A9F" w:rsidP="008172D9">
      <w:r>
        <w:t xml:space="preserve">At current stage, we propose to leave it FFS until the feasibility to support CRS-IM for 30kHz SCS is confirmed. </w:t>
      </w:r>
    </w:p>
    <w:p w14:paraId="078CF988" w14:textId="7F999CBD" w:rsidR="008F7A79" w:rsidRPr="004A7A9F" w:rsidRDefault="004A7A9F" w:rsidP="008172D9">
      <w:pPr>
        <w:rPr>
          <w:b/>
          <w:bCs/>
          <w:i/>
          <w:iCs/>
        </w:rPr>
      </w:pPr>
      <w:r w:rsidRPr="004A7A9F">
        <w:rPr>
          <w:b/>
          <w:bCs/>
          <w:i/>
          <w:iCs/>
        </w:rPr>
        <w:t xml:space="preserve">Proposal 8: Option 1: </w:t>
      </w:r>
      <w:r w:rsidRPr="004A7A9F">
        <w:rPr>
          <w:rFonts w:cstheme="minorHAnsi"/>
          <w:b/>
          <w:bCs/>
          <w:i/>
          <w:iCs/>
          <w:lang w:eastAsia="ko-KR"/>
        </w:rPr>
        <w:t>FFS until feasibility to support CRS-IM for 30kHz SCS is confirmed.</w:t>
      </w:r>
    </w:p>
    <w:p w14:paraId="464D85B0" w14:textId="77777777" w:rsidR="008F7A79" w:rsidRPr="008172D9" w:rsidRDefault="008F7A79" w:rsidP="008172D9"/>
    <w:p w14:paraId="270E7C04" w14:textId="77777777" w:rsidR="008F7A79" w:rsidRPr="0092180D" w:rsidRDefault="008F7A79" w:rsidP="008F7A79">
      <w:pPr>
        <w:pStyle w:val="Heading1"/>
        <w:jc w:val="both"/>
        <w:rPr>
          <w:lang w:val="en-US"/>
        </w:rPr>
      </w:pPr>
      <w:r>
        <w:rPr>
          <w:lang w:val="en-US"/>
        </w:rPr>
        <w:t>3</w:t>
      </w:r>
      <w:r w:rsidRPr="0092180D">
        <w:rPr>
          <w:lang w:val="en-US"/>
        </w:rPr>
        <w:tab/>
        <w:t>Summary</w:t>
      </w:r>
    </w:p>
    <w:p w14:paraId="71B87F70" w14:textId="12B8F817" w:rsidR="008F7A79" w:rsidRDefault="00C413AF" w:rsidP="008F7A79">
      <w:r>
        <w:t>In summary, we shared our views on left open issues for 30kHz SCS scenario. We also discussed the UE capability for both scenarios1 and 2. Followings are summarized proposals:</w:t>
      </w:r>
    </w:p>
    <w:p w14:paraId="201FE2F3" w14:textId="298D5DA1" w:rsidR="00C413AF" w:rsidRDefault="00C413AF" w:rsidP="00C413AF">
      <w:pPr>
        <w:rPr>
          <w:b/>
          <w:bCs/>
          <w:i/>
          <w:iCs/>
        </w:rPr>
      </w:pPr>
      <w:r w:rsidRPr="00636EB0">
        <w:rPr>
          <w:b/>
          <w:bCs/>
          <w:i/>
          <w:iCs/>
        </w:rPr>
        <w:t>Proposal 1: Option 4: Up to UE implementation for the implementation of LLR weighting in 30 kHz SCS scenario.</w:t>
      </w:r>
    </w:p>
    <w:p w14:paraId="5203FBF4" w14:textId="6CED2D77" w:rsidR="00C413AF" w:rsidRDefault="00C413AF" w:rsidP="00C413AF">
      <w:pPr>
        <w:rPr>
          <w:b/>
          <w:bCs/>
          <w:i/>
          <w:iCs/>
        </w:rPr>
      </w:pPr>
      <w:r>
        <w:rPr>
          <w:b/>
          <w:bCs/>
          <w:i/>
          <w:iCs/>
        </w:rPr>
        <w:t>Proposal 2: Option 3: Reuse the GTW agreement of 15kHz SCS scenario</w:t>
      </w:r>
    </w:p>
    <w:p w14:paraId="39244F51" w14:textId="77777777" w:rsidR="00C413AF" w:rsidRPr="0085179D" w:rsidRDefault="00C413AF" w:rsidP="00C413AF">
      <w:r w:rsidRPr="00F93C8B">
        <w:rPr>
          <w:b/>
          <w:bCs/>
          <w:i/>
          <w:iCs/>
        </w:rPr>
        <w:t xml:space="preserve">Proposal 3: </w:t>
      </w:r>
      <w:r>
        <w:rPr>
          <w:b/>
          <w:bCs/>
          <w:i/>
          <w:iCs/>
        </w:rPr>
        <w:t>Option 4: Reuse the GTW agreement of 15kHz SCS scenario</w:t>
      </w:r>
    </w:p>
    <w:p w14:paraId="462C0B43" w14:textId="77777777" w:rsidR="00C413AF" w:rsidRPr="00D84CCA" w:rsidRDefault="00C413AF" w:rsidP="00C413AF">
      <w:pPr>
        <w:rPr>
          <w:b/>
          <w:bCs/>
          <w:i/>
          <w:iCs/>
        </w:rPr>
      </w:pPr>
      <w:r w:rsidRPr="00D84CCA">
        <w:rPr>
          <w:b/>
          <w:bCs/>
          <w:i/>
          <w:iCs/>
        </w:rPr>
        <w:t>Proposal 4: Option 1</w:t>
      </w:r>
      <w:r>
        <w:rPr>
          <w:b/>
          <w:bCs/>
          <w:i/>
          <w:iCs/>
        </w:rPr>
        <w:t xml:space="preserve"> for</w:t>
      </w:r>
      <w:r w:rsidRPr="00D84CCA">
        <w:t xml:space="preserve"> </w:t>
      </w:r>
      <w:r w:rsidRPr="00D84CCA">
        <w:rPr>
          <w:b/>
          <w:bCs/>
          <w:i/>
          <w:iCs/>
        </w:rPr>
        <w:t>CBW and SCS for target and interference cells can be used for evaluating the feasibility first.</w:t>
      </w:r>
    </w:p>
    <w:p w14:paraId="2750D783" w14:textId="77777777" w:rsidR="00C413AF" w:rsidRDefault="00C413AF" w:rsidP="00C413AF">
      <w:r w:rsidRPr="00D84CCA">
        <w:rPr>
          <w:b/>
          <w:bCs/>
          <w:i/>
          <w:iCs/>
        </w:rPr>
        <w:t>Proposal 5:</w:t>
      </w:r>
      <w:r>
        <w:t xml:space="preserve"> </w:t>
      </w:r>
      <w:r w:rsidRPr="00D84CCA">
        <w:rPr>
          <w:b/>
          <w:bCs/>
          <w:i/>
          <w:iCs/>
        </w:rPr>
        <w:t>Option 1</w:t>
      </w:r>
      <w:r>
        <w:rPr>
          <w:b/>
          <w:bCs/>
          <w:i/>
          <w:iCs/>
        </w:rPr>
        <w:t xml:space="preserve"> for </w:t>
      </w:r>
      <w:r w:rsidRPr="00D84CCA">
        <w:rPr>
          <w:b/>
          <w:bCs/>
          <w:i/>
          <w:iCs/>
        </w:rPr>
        <w:t>TDD configuration for target cell with 30kHz SCS can be used for evaluating the feasibility first.</w:t>
      </w:r>
    </w:p>
    <w:p w14:paraId="636873CF" w14:textId="77777777" w:rsidR="00C413AF" w:rsidRPr="00836C65" w:rsidRDefault="00C413AF" w:rsidP="00C413AF">
      <w:pPr>
        <w:rPr>
          <w:b/>
          <w:bCs/>
          <w:i/>
          <w:iCs/>
        </w:rPr>
      </w:pPr>
      <w:r w:rsidRPr="00836C65">
        <w:rPr>
          <w:b/>
          <w:bCs/>
          <w:i/>
          <w:iCs/>
        </w:rPr>
        <w:t>Proposal 6: Further decide exact test setup for defining requirement purpose after it is proved that 30kHz SCS is feasible for defining requirement.</w:t>
      </w:r>
    </w:p>
    <w:p w14:paraId="7900C5C0" w14:textId="77777777" w:rsidR="00C413AF" w:rsidRPr="000514DC" w:rsidRDefault="00C413AF" w:rsidP="00C413AF">
      <w:pPr>
        <w:rPr>
          <w:b/>
          <w:bCs/>
          <w:i/>
          <w:iCs/>
        </w:rPr>
      </w:pPr>
      <w:r w:rsidRPr="000514DC">
        <w:rPr>
          <w:b/>
          <w:bCs/>
          <w:i/>
          <w:iCs/>
        </w:rPr>
        <w:t>Proposal 7: Separate UE capabilities are also needed for two types of UE, one is capable for do the CRS-IM without the NWA signaling, and the other doesn’t.</w:t>
      </w:r>
    </w:p>
    <w:p w14:paraId="3BB8B42D" w14:textId="77777777" w:rsidR="00C413AF" w:rsidRPr="004A7A9F" w:rsidRDefault="00C413AF" w:rsidP="00C413AF">
      <w:pPr>
        <w:rPr>
          <w:b/>
          <w:bCs/>
          <w:i/>
          <w:iCs/>
        </w:rPr>
      </w:pPr>
      <w:r w:rsidRPr="004A7A9F">
        <w:rPr>
          <w:b/>
          <w:bCs/>
          <w:i/>
          <w:iCs/>
        </w:rPr>
        <w:t xml:space="preserve">Proposal 8: Option 1: </w:t>
      </w:r>
      <w:r w:rsidRPr="004A7A9F">
        <w:rPr>
          <w:rFonts w:cstheme="minorHAnsi"/>
          <w:b/>
          <w:bCs/>
          <w:i/>
          <w:iCs/>
          <w:lang w:eastAsia="ko-KR"/>
        </w:rPr>
        <w:t>FFS until feasibility to support CRS-IM for 30kHz SCS is confirmed.</w:t>
      </w:r>
    </w:p>
    <w:p w14:paraId="574D16AA" w14:textId="77777777" w:rsidR="008F7A79" w:rsidRPr="00BC31DC" w:rsidRDefault="008F7A79" w:rsidP="008F7A79">
      <w:pPr>
        <w:pStyle w:val="Heading1"/>
        <w:jc w:val="both"/>
        <w:rPr>
          <w:lang w:val="en-US"/>
        </w:rPr>
      </w:pPr>
      <w:r w:rsidRPr="0092180D">
        <w:rPr>
          <w:lang w:val="en-US"/>
        </w:rPr>
        <w:t>References</w:t>
      </w:r>
    </w:p>
    <w:p w14:paraId="26871494" w14:textId="77777777" w:rsidR="00C413AF" w:rsidRPr="00C76F87" w:rsidRDefault="00C413AF" w:rsidP="00C413AF">
      <w:pPr>
        <w:pStyle w:val="ListParagraph"/>
        <w:numPr>
          <w:ilvl w:val="0"/>
          <w:numId w:val="4"/>
        </w:numPr>
        <w:overflowPunct w:val="0"/>
        <w:autoSpaceDE w:val="0"/>
        <w:autoSpaceDN w:val="0"/>
        <w:adjustRightInd w:val="0"/>
        <w:spacing w:after="180" w:line="240" w:lineRule="auto"/>
        <w:ind w:left="450" w:hanging="450"/>
        <w:rPr>
          <w:rFonts w:ascii="Times New Roman" w:hAnsi="Times New Roman" w:cs="Times New Roman"/>
        </w:rPr>
      </w:pPr>
      <w:bookmarkStart w:id="3" w:name="_Ref70965065"/>
      <w:r w:rsidRPr="00C76F87">
        <w:rPr>
          <w:rFonts w:ascii="Times New Roman" w:hAnsi="Times New Roman" w:cs="Times New Roman"/>
        </w:rPr>
        <w:t>R4-2</w:t>
      </w:r>
      <w:r>
        <w:rPr>
          <w:rFonts w:ascii="Times New Roman" w:hAnsi="Times New Roman" w:cs="Times New Roman"/>
        </w:rPr>
        <w:t>203131</w:t>
      </w:r>
      <w:r w:rsidRPr="00C76F87">
        <w:rPr>
          <w:rFonts w:ascii="Times New Roman" w:hAnsi="Times New Roman" w:cs="Times New Roman"/>
        </w:rPr>
        <w:t>, “</w:t>
      </w:r>
      <w:r w:rsidRPr="00F4392D">
        <w:rPr>
          <w:rFonts w:ascii="Times New Roman" w:hAnsi="Times New Roman" w:cs="Times New Roman"/>
        </w:rPr>
        <w:t>WF on general part and 15 kHz NR SCS scenario for CRS-IM receiver</w:t>
      </w:r>
      <w:r w:rsidRPr="00C76F87">
        <w:rPr>
          <w:rFonts w:ascii="Times New Roman" w:hAnsi="Times New Roman" w:cs="Times New Roman"/>
        </w:rPr>
        <w:t xml:space="preserve">”, </w:t>
      </w:r>
      <w:bookmarkEnd w:id="3"/>
      <w:r w:rsidRPr="00C76F87">
        <w:rPr>
          <w:rFonts w:ascii="Times New Roman" w:hAnsi="Times New Roman" w:cs="Times New Roman"/>
        </w:rPr>
        <w:t>China Telecom</w:t>
      </w:r>
    </w:p>
    <w:p w14:paraId="333A8D22" w14:textId="4F280225" w:rsidR="00C413AF" w:rsidRPr="00C76F87" w:rsidRDefault="00C413AF" w:rsidP="00C413AF">
      <w:pPr>
        <w:pStyle w:val="ListParagraph"/>
        <w:numPr>
          <w:ilvl w:val="0"/>
          <w:numId w:val="4"/>
        </w:numPr>
        <w:overflowPunct w:val="0"/>
        <w:autoSpaceDE w:val="0"/>
        <w:autoSpaceDN w:val="0"/>
        <w:adjustRightInd w:val="0"/>
        <w:spacing w:after="180" w:line="240" w:lineRule="auto"/>
        <w:ind w:left="450" w:hanging="450"/>
        <w:rPr>
          <w:rFonts w:ascii="Times New Roman" w:hAnsi="Times New Roman" w:cs="Times New Roman"/>
        </w:rPr>
      </w:pPr>
      <w:r w:rsidRPr="00C76F87">
        <w:rPr>
          <w:rFonts w:ascii="Times New Roman" w:hAnsi="Times New Roman" w:cs="Times New Roman"/>
        </w:rPr>
        <w:t>R4-2</w:t>
      </w:r>
      <w:r>
        <w:rPr>
          <w:rFonts w:ascii="Times New Roman" w:hAnsi="Times New Roman" w:cs="Times New Roman"/>
        </w:rPr>
        <w:t>203029</w:t>
      </w:r>
      <w:r w:rsidRPr="00C76F87">
        <w:rPr>
          <w:rFonts w:ascii="Times New Roman" w:hAnsi="Times New Roman" w:cs="Times New Roman"/>
        </w:rPr>
        <w:t>, “</w:t>
      </w:r>
      <w:r w:rsidRPr="00C413AF">
        <w:rPr>
          <w:rFonts w:ascii="Times New Roman" w:hAnsi="Times New Roman" w:cs="Times New Roman"/>
        </w:rPr>
        <w:t>WF on CRS-IM in scenarios with overlapping spectrum for LTE and NR with 30kHz SCS</w:t>
      </w:r>
      <w:r w:rsidRPr="00C76F87">
        <w:rPr>
          <w:rFonts w:ascii="Times New Roman" w:hAnsi="Times New Roman" w:cs="Times New Roman"/>
        </w:rPr>
        <w:t>”, C</w:t>
      </w:r>
      <w:r>
        <w:rPr>
          <w:rFonts w:ascii="Times New Roman" w:hAnsi="Times New Roman" w:cs="Times New Roman"/>
        </w:rPr>
        <w:t>MCC</w:t>
      </w:r>
    </w:p>
    <w:p w14:paraId="512FA904" w14:textId="77777777" w:rsidR="003D223E" w:rsidRDefault="008041AA"/>
    <w:sectPr w:rsidR="003D22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BB60EA3"/>
    <w:multiLevelType w:val="hybridMultilevel"/>
    <w:tmpl w:val="7B1C69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F094F74"/>
    <w:multiLevelType w:val="hybridMultilevel"/>
    <w:tmpl w:val="CB60AA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514DC"/>
    <w:rsid w:val="0009798E"/>
    <w:rsid w:val="00145466"/>
    <w:rsid w:val="00183984"/>
    <w:rsid w:val="002A6C78"/>
    <w:rsid w:val="003326DE"/>
    <w:rsid w:val="003403B0"/>
    <w:rsid w:val="003B373D"/>
    <w:rsid w:val="003D3CEE"/>
    <w:rsid w:val="004A7A9F"/>
    <w:rsid w:val="0054030B"/>
    <w:rsid w:val="005A631C"/>
    <w:rsid w:val="005B4AEA"/>
    <w:rsid w:val="005E5209"/>
    <w:rsid w:val="00636EB0"/>
    <w:rsid w:val="00665B73"/>
    <w:rsid w:val="007915E6"/>
    <w:rsid w:val="008041AA"/>
    <w:rsid w:val="008172D9"/>
    <w:rsid w:val="00836C65"/>
    <w:rsid w:val="0085179D"/>
    <w:rsid w:val="008C1B57"/>
    <w:rsid w:val="008F7A79"/>
    <w:rsid w:val="009A032C"/>
    <w:rsid w:val="00A654F6"/>
    <w:rsid w:val="00B2696D"/>
    <w:rsid w:val="00BF3494"/>
    <w:rsid w:val="00C413AF"/>
    <w:rsid w:val="00D84CCA"/>
    <w:rsid w:val="00E754F9"/>
    <w:rsid w:val="00E949BF"/>
    <w:rsid w:val="00F93C8B"/>
    <w:rsid w:val="00FF4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8F7A7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8F7A79"/>
    <w:rPr>
      <w:rFonts w:ascii="Arial" w:eastAsia="MS Mincho" w:hAnsi="Arial" w:cs="Times New Roman"/>
      <w:sz w:val="36"/>
      <w:szCs w:val="20"/>
      <w:lang w:val="en-GB" w:eastAsia="ja-JP"/>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A6C78"/>
    <w:pPr>
      <w:ind w:left="720"/>
      <w:contextualSpacing/>
    </w:pPr>
  </w:style>
  <w:style w:type="table" w:styleId="TableGrid">
    <w:name w:val="Table Grid"/>
    <w:basedOn w:val="TableNormal"/>
    <w:uiPriority w:val="39"/>
    <w:rsid w:val="00A654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A654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5</Pages>
  <Words>1290</Words>
  <Characters>7359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21</cp:revision>
  <dcterms:created xsi:type="dcterms:W3CDTF">2022-02-07T06:45:00Z</dcterms:created>
  <dcterms:modified xsi:type="dcterms:W3CDTF">2022-02-14T15:20:00Z</dcterms:modified>
</cp:coreProperties>
</file>